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outlineLvl w:val="0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bookmarkStart w:id="0" w:name="_Toc7910"/>
      <w:r>
        <w:rPr>
          <w:rFonts w:hint="eastAsia" w:ascii="黑体" w:eastAsia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2：</w:t>
      </w:r>
      <w:bookmarkEnd w:id="0"/>
    </w:p>
    <w:p>
      <w:pPr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2"/>
          <w:lang w:eastAsia="zh-CN"/>
        </w:rPr>
        <w:t>中青年教师培训班推荐限额表</w:t>
      </w:r>
    </w:p>
    <w:tbl>
      <w:tblPr>
        <w:tblStyle w:val="5"/>
        <w:tblW w:w="73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804"/>
        <w:gridCol w:w="995"/>
        <w:gridCol w:w="865"/>
        <w:gridCol w:w="1920"/>
        <w:gridCol w:w="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中青年教师限额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中青年教师限额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影视造型学院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国际影视特效学院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动漫游基础教学部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设计基础教学部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体育俱乐部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合计：25人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jc w:val="center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2"/>
          <w:lang w:eastAsia="zh-CN"/>
        </w:rPr>
        <w:t>中青年教师培训班报名表</w:t>
      </w:r>
    </w:p>
    <w:tbl>
      <w:tblPr>
        <w:tblStyle w:val="5"/>
        <w:tblW w:w="7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740"/>
        <w:gridCol w:w="1155"/>
        <w:gridCol w:w="1177"/>
        <w:gridCol w:w="1185"/>
        <w:gridCol w:w="1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教师类型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drawing>
        <wp:inline distT="0" distB="0" distL="114300" distR="114300">
          <wp:extent cx="274320" cy="292735"/>
          <wp:effectExtent l="0" t="0" r="11430" b="12065"/>
          <wp:docPr id="19" name="图片 3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3" descr="校 标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   吉林动画学院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838ED"/>
    <w:rsid w:val="671838ED"/>
    <w:rsid w:val="671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2021-12-16T02:53:00Z</dcterms:created>
  <dc:creator>阿菁</dc:creator>
  <cp:lastModifiedBy>阿菁</cp:lastModifiedBy>
  <dcterms:modified xsi:type="dcterms:W3CDTF">2021-12-16T02:54:53Z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1B1C1F43687D45A19515F61A61D6805D</vt:lpwstr>
  </property>
</Properties>
</file>