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outlineLvl w:val="0"/>
        <w:rPr>
          <w:rFonts w:hint="eastAsia" w:eastAsia="黑体"/>
          <w:color w:val="auto"/>
          <w:sz w:val="32"/>
          <w:szCs w:val="32"/>
          <w:lang w:eastAsia="zh-CN"/>
        </w:rPr>
      </w:pPr>
      <w:bookmarkStart w:id="0" w:name="_Toc27460"/>
      <w:r>
        <w:rPr>
          <w:rFonts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  <w:bookmarkEnd w:id="0"/>
    </w:p>
    <w:p>
      <w:pPr>
        <w:jc w:val="center"/>
        <w:rPr>
          <w:rFonts w:ascii="方正小标宋简体" w:hAnsi="华文中宋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color w:val="auto"/>
          <w:sz w:val="36"/>
          <w:szCs w:val="36"/>
        </w:rPr>
        <w:t>中青年教师专业教学能力培训班课程列表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558"/>
        <w:gridCol w:w="1172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6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课程模块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pStyle w:val="6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172" w:type="dxa"/>
            <w:noWrap w:val="0"/>
            <w:vAlign w:val="top"/>
          </w:tcPr>
          <w:p>
            <w:pPr>
              <w:pStyle w:val="6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主讲人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4"/>
            <w:noWrap w:val="0"/>
            <w:vAlign w:val="center"/>
          </w:tcPr>
          <w:p>
            <w:pPr>
              <w:pStyle w:val="6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通识课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教育政策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认真学习贯彻党的十九大精神，努力办好人民满意的教育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陈宝生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教育部党组书记、部长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人才培养为本 本科教育是根——学习贯彻全国教育大会精神体会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吴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岩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教育部高等教育司司长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深刻把握新时代党的建设总体要求 培养担当民族复兴大任的时代新人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冯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培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首都经济贸易大学党委书记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师德师风与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课程思政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大学教师的职业责任与道德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肖群忠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中国人民大学哲学院教授、博士生导师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做国家和人民满意的人民教师——谈教学方法艺术及教师师德师风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张学政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清华大学教授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课程思政：各类课程与思政课同向同行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吴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上海科技大学纪委书记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“守好一段渠,种好责任田”——与思政课程同向同行的课程思政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夏永林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西安电子科技大学马克思主义学院党委书记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如何做一个温暖的老师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路丙辉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安徽师范大学政治学院教授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4"/>
            <w:noWrap w:val="0"/>
            <w:vAlign w:val="center"/>
          </w:tcPr>
          <w:p>
            <w:pPr>
              <w:pStyle w:val="6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选学课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卓越教学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现代教学艺术与创新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赵精兵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西安文理学院教授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基于OBE理念的课程教学大纲的制订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郭江峰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浙江理工大学教学发展中心主任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以学生为中心的课程教学设计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郭江峰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浙江理工大学教学发展中心主任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教与学共同改进的炼“金”之法——基于BOPPPS 、对分、雨课堂的混合式课堂教学模式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冯瑞玲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北京交通大学教授、教师发展中心促进师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高校课堂教学：问题与对策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赵丽琴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北京工业大学教授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从优质课的评价标准看如何上好堂课——以《大学物理》为例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裴世鑫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南京信息工程大学教授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热点追踪——高校课程评价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 xml:space="preserve">吴 </w:t>
            </w:r>
            <w:r>
              <w:rPr>
                <w:rFonts w:ascii="仿宋_GB2312" w:hAnsi="黑体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sz w:val="24"/>
              </w:rPr>
              <w:t>平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华中农业大学党委常委、副校长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大学教师的有效教学反思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陈晓端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陕西师范大学教育学院教授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信息化教学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如何打造信息时代的“金课”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王竹立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中山大学教师发展中心培训教师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信息技术与教学融合的系统化研究：理论探索、技术构建与组织变革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韩锡斌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清华大学教育研究院副院长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在线课程的应用/借用/快速建课与“混合+翻转”教学模式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蒋爱民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华南农业大学二级教授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利用慕课资源实施翻转课堂的实践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于歆杰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清华大学长聘副教授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学业指导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如何让你的学生爱上学习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李丹青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中国计量大学标准化学院院长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做一名合格的研究生导师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沈湘平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北京师范大学哲学学院教授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做一个快乐的教书人——一位工科大学教师的教书心得笔记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曲洪权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北方工业大学电子信息学院责任教授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个人与组织发展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高校教师发展的时代要求与实践探索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施大宁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南京航空航天大学副校长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教师职业心理健康的维护——倦怠感的预防与幸福感的提升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伍新春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北京师范大学心理学院/学部教授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高校教研室的改革与发展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付八军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绍兴文理学院教师教育学院教授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高校青年教师沟通巧技能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刘平青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hAnsi="黑体" w:eastAsia="仿宋_GB2312"/>
                <w:color w:val="auto"/>
                <w:sz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</w:rPr>
              <w:t>北京理工大学管理与经济学院副院长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A03D4"/>
    <w:rsid w:val="06E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2021-12-16T03:01:00Z</dcterms:created>
  <dc:creator>阿菁</dc:creator>
  <cp:lastModifiedBy>阿菁</cp:lastModifiedBy>
  <dcterms:modified xsi:type="dcterms:W3CDTF">2021-12-16T03:01:31Z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FF40A4CB079E463DAF9957F0870E30F3</vt:lpwstr>
  </property>
</Properties>
</file>