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附件1：</w:t>
      </w:r>
    </w:p>
    <w:p>
      <w:pPr>
        <w:jc w:val="center"/>
        <w:rPr>
          <w:rFonts w:ascii="仿宋_GB2312" w:hAnsi="宋体" w:eastAsia="仿宋_GB2312"/>
          <w:b/>
          <w:bCs/>
          <w:color w:val="auto"/>
          <w:szCs w:val="21"/>
        </w:rPr>
      </w:pPr>
      <w:r>
        <w:rPr>
          <w:rFonts w:hint="eastAsia" w:ascii="仿宋_GB2312" w:hAnsi="宋体" w:eastAsia="仿宋_GB2312"/>
          <w:b/>
          <w:bCs/>
          <w:color w:val="auto"/>
          <w:sz w:val="36"/>
          <w:szCs w:val="36"/>
        </w:rPr>
        <w:t>培训课程设置表</w:t>
      </w:r>
    </w:p>
    <w:p>
      <w:pPr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20"/>
        <w:gridCol w:w="4335"/>
        <w:gridCol w:w="1290"/>
        <w:gridCol w:w="1200"/>
        <w:gridCol w:w="1050"/>
        <w:gridCol w:w="1004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课程模块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课程名称（主要内容）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培训方式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学分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学时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师德师风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大学教师的职业责任与道德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网络课程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2分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教师教学发展中心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如何做一个温暖的老师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教学信念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不忘教育之初心 牢记教师之使命——浅谈提升课堂磁力的动力之源，执教之道，为师之本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3.5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教学能力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大学教师教学的胜任力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理解大学教学及其复杂性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以学生为中心的课程教学设计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如何上好一堂课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好老师与好课程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高校青年教师沟通巧技能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如何让你的学生爱上学习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教师发展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教学反思与教师专业发展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1.5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教学课件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教学PPT制作与美化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2.5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青年教师导师制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导师制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4学分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一年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必修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教学单位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565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观摩听课</w:t>
            </w: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</w:tbl>
    <w:p>
      <w:pPr>
        <w:ind w:firstLine="480" w:firstLineChars="200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注：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12</w:t>
      </w:r>
      <w:r>
        <w:rPr>
          <w:rFonts w:hint="eastAsia" w:ascii="仿宋_GB2312" w:hAnsi="宋体" w:eastAsia="仿宋_GB2312"/>
          <w:color w:val="auto"/>
          <w:sz w:val="24"/>
        </w:rPr>
        <w:t>门网络课程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，共计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22.5学时</w:t>
      </w:r>
      <w:r>
        <w:rPr>
          <w:rFonts w:hint="eastAsia" w:ascii="仿宋_GB2312" w:hAnsi="宋体" w:eastAsia="仿宋_GB2312"/>
          <w:color w:val="auto"/>
          <w:sz w:val="24"/>
        </w:rPr>
        <w:t>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/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val="en-US" w:eastAsia="zh-CN"/>
                      </w:rPr>
                      <w:t>/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000000" w:sz="4" w:space="1"/>
      </w:pBdr>
      <w:rPr>
        <w:rStyle w:val="8"/>
        <w:rFonts w:hint="default" w:eastAsia="宋体"/>
        <w:lang w:val="en-US" w:eastAsia="zh-CN"/>
      </w:rPr>
    </w:pPr>
    <w:r>
      <w:rPr>
        <w:rStyle w:val="8"/>
        <w:rFonts w:ascii="宋体" w:hAnsi="宋体"/>
        <w:sz w:val="21"/>
        <w:szCs w:val="21"/>
      </w:rPr>
      <w:drawing>
        <wp:inline distT="0" distB="0" distL="114300" distR="114300">
          <wp:extent cx="314325" cy="33337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8"/>
        <w:sz w:val="21"/>
        <w:szCs w:val="21"/>
      </w:rPr>
      <w:t xml:space="preserve">                                          吉林动画学院教发中心2021年</w:t>
    </w:r>
    <w:r>
      <w:rPr>
        <w:rStyle w:val="8"/>
        <w:rFonts w:hint="eastAsia"/>
        <w:sz w:val="21"/>
        <w:szCs w:val="21"/>
        <w:lang w:val="en-US" w:eastAsia="zh-CN"/>
      </w:rPr>
      <w:t>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16603086"/>
    <w:rsid w:val="1EEC7F0D"/>
    <w:rsid w:val="2009594B"/>
    <w:rsid w:val="24A10B09"/>
    <w:rsid w:val="2DD72802"/>
    <w:rsid w:val="3C910794"/>
    <w:rsid w:val="45983BDF"/>
    <w:rsid w:val="46581C38"/>
    <w:rsid w:val="4A2D36DE"/>
    <w:rsid w:val="52C02725"/>
    <w:rsid w:val="71D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2021-12-13T07:42:34Z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6F29DC9C13FB4A7F97235C4A14A6AF55</vt:lpwstr>
  </property>
</Properties>
</file>