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b/>
          <w:color w:val="auto"/>
          <w:sz w:val="28"/>
          <w:szCs w:val="28"/>
        </w:rPr>
      </w:pPr>
      <w:bookmarkStart w:id="0" w:name="_Toc1527"/>
      <w:r>
        <w:rPr>
          <w:rFonts w:hint="eastAsia" w:ascii="黑体" w:hAnsi="黑体" w:eastAsia="黑体"/>
          <w:b/>
          <w:color w:val="auto"/>
          <w:sz w:val="28"/>
          <w:szCs w:val="28"/>
        </w:rPr>
        <w:t>附件1：</w:t>
      </w:r>
      <w:bookmarkEnd w:id="0"/>
    </w:p>
    <w:p>
      <w:pPr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教学单位基础型教师推荐限额表</w:t>
      </w:r>
    </w:p>
    <w:tbl>
      <w:tblPr>
        <w:tblStyle w:val="3"/>
        <w:tblpPr w:leftFromText="180" w:rightFromText="180" w:vertAnchor="text" w:horzAnchor="page" w:tblpX="2084" w:tblpY="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33"/>
        <w:gridCol w:w="1049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教学单位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推荐限额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动画艺术学院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游戏学院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设计学院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设计基础教学部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电视与新媒体学院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电影学院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文化产业商学院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漫画学院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产品造型学院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虚拟现实学院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民航学院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影视造型学院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国际影视特效学院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动漫游基础教学部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国际交流学院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通识教育学院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体育俱乐部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合 计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  <w:t>46</w:t>
            </w:r>
          </w:p>
        </w:tc>
      </w:tr>
    </w:tbl>
    <w:p>
      <w:pPr>
        <w:jc w:val="center"/>
        <w:rPr>
          <w:rFonts w:ascii="黑体" w:hAnsi="黑体" w:eastAsia="黑体"/>
          <w:b/>
          <w:color w:val="auto"/>
          <w:sz w:val="44"/>
          <w:szCs w:val="44"/>
        </w:rPr>
      </w:pPr>
    </w:p>
    <w:p>
      <w:pPr>
        <w:jc w:val="left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24"/>
        </w:rPr>
        <w:t>注：推荐限额表参照《各学院及教学单位参赛名额分配表》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9244E"/>
    <w:rsid w:val="052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2021-12-16T03:04:00Z</dcterms:created>
  <dc:creator>阿菁</dc:creator>
  <cp:lastModifiedBy>阿菁</cp:lastModifiedBy>
  <dcterms:modified xsi:type="dcterms:W3CDTF">2021-12-16T03:05:12Z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4C27A0D87D3B4AAEAC6B20996A8E92B2</vt:lpwstr>
  </property>
</Properties>
</file>