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宋体" w:hAnsi="宋体" w:cs="宋体"/>
          <w:color w:val="auto"/>
          <w:sz w:val="24"/>
        </w:rPr>
      </w:pPr>
      <w:bookmarkStart w:id="0" w:name="_Toc587"/>
      <w:r>
        <w:rPr>
          <w:rFonts w:hint="eastAsia" w:ascii="宋体" w:hAnsi="宋体" w:cs="宋体"/>
          <w:color w:val="auto"/>
          <w:sz w:val="24"/>
        </w:rPr>
        <w:t>附件1：</w:t>
      </w:r>
      <w:bookmarkEnd w:id="0"/>
    </w:p>
    <w:p>
      <w:pPr>
        <w:jc w:val="center"/>
        <w:rPr>
          <w:rFonts w:ascii="仿宋_GB2312" w:hAnsi="宋体" w:eastAsia="仿宋_GB2312"/>
          <w:b/>
          <w:bCs/>
          <w:color w:val="auto"/>
          <w:szCs w:val="21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新教师入职培训课程设置表</w:t>
      </w:r>
      <w:r>
        <w:rPr>
          <w:rFonts w:hint="eastAsia" w:ascii="仿宋_GB2312" w:hAnsi="宋体" w:eastAsia="仿宋_GB2312"/>
          <w:b/>
          <w:bCs/>
          <w:color w:val="auto"/>
          <w:sz w:val="24"/>
        </w:rPr>
        <w:t>（6+6学分）</w:t>
      </w:r>
    </w:p>
    <w:p>
      <w:pPr>
        <w:jc w:val="center"/>
        <w:rPr>
          <w:rFonts w:hint="eastAsia" w:eastAsia="仿宋_GB2312"/>
          <w:color w:val="auto"/>
          <w:sz w:val="28"/>
          <w:szCs w:val="36"/>
          <w:lang w:eastAsia="zh-CN"/>
        </w:rPr>
      </w:pPr>
      <w:r>
        <w:rPr>
          <w:rFonts w:hint="eastAsia" w:eastAsia="仿宋_GB2312"/>
          <w:color w:val="auto"/>
          <w:sz w:val="28"/>
          <w:szCs w:val="36"/>
          <w:lang w:eastAsia="zh-CN"/>
        </w:rPr>
        <w:t>（必修</w:t>
      </w:r>
      <w:r>
        <w:rPr>
          <w:rFonts w:hint="eastAsia" w:eastAsia="仿宋_GB2312"/>
          <w:color w:val="auto"/>
          <w:sz w:val="28"/>
          <w:szCs w:val="36"/>
          <w:lang w:val="en-US" w:eastAsia="zh-CN"/>
        </w:rPr>
        <w:t>+</w:t>
      </w:r>
      <w:r>
        <w:rPr>
          <w:rFonts w:hint="eastAsia" w:eastAsia="仿宋_GB2312"/>
          <w:color w:val="auto"/>
          <w:sz w:val="28"/>
          <w:szCs w:val="36"/>
          <w:lang w:eastAsia="zh-CN"/>
        </w:rPr>
        <w:t>选修）</w:t>
      </w:r>
    </w:p>
    <w:tbl>
      <w:tblPr>
        <w:tblStyle w:val="5"/>
        <w:tblW w:w="14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59"/>
        <w:gridCol w:w="457"/>
        <w:gridCol w:w="436"/>
        <w:gridCol w:w="1007"/>
        <w:gridCol w:w="2636"/>
        <w:gridCol w:w="1095"/>
        <w:gridCol w:w="1065"/>
        <w:gridCol w:w="1013"/>
        <w:gridCol w:w="1054"/>
        <w:gridCol w:w="1125"/>
        <w:gridCol w:w="118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课程安排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内容模块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课程模块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课程名称（主要内容）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培训方式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学分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新教师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教师系列职称讲师及以上职称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非教师系列职称中级及以上职称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学校层面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校情认知</w:t>
            </w:r>
          </w:p>
        </w:tc>
        <w:tc>
          <w:tcPr>
            <w:tcW w:w="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素质教育课程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文化认同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学校办学特色、文化内涵、组织机构、管理机制、规章制度解读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线下讲座、报告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1学分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4学时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力行职业发展学院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网络课程</w:t>
            </w: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师德师风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大学教师的职业责任与道德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线上课程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2学分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20学时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教师教学发展中心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如何做一个温暖的老师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教师职业生涯规划的制定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能力培养课程</w:t>
            </w: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教学能力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教育教学理论与政策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人才培养为本 本科教育是根——学习贯彻全国教育大会精神体会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教学基本功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理解大学教学及其复杂性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以学生为中心的课程教学设计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如何上好一堂课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高校青年教师沟通巧技能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好老师与好课程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如何让你的学生爱上学习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课程建设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应用型课程建设原则与方法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科学研究能力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国家各类项目申报及注意事项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专题培训</w:t>
            </w: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教学基本功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shd w:val="clear" w:color="auto" w:fill="auto"/>
              </w:rPr>
              <w:t>如何成为一名合格教师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线下讲座、报告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2学分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8学时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编写教案和编制课件的基本要求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教学设计的方法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课程思政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课程思政的途径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56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教学观摩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线下观摩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1学分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4学时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选修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教学单位层面</w:t>
            </w:r>
          </w:p>
        </w:tc>
        <w:tc>
          <w:tcPr>
            <w:tcW w:w="56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青年教师导师制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4学分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一年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—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—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56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同行听课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2学分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16学时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</w:p>
    <w:p>
      <w:pPr>
        <w:ind w:firstLine="480" w:firstLineChars="200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注：1.共计52学时。含校情认知4学时；12门网络课程20学时；线下专题培训8学时，教学观摩4学时；同行听课16学时。</w:t>
      </w:r>
    </w:p>
    <w:p>
      <w:pPr>
        <w:ind w:firstLine="960" w:firstLineChars="400"/>
        <w:rPr>
          <w:rFonts w:hint="eastAsia" w:ascii="仿宋_GB2312" w:hAnsi="宋体" w:eastAsia="仿宋_GB2312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2.新教师完成必修52学时，教师系列职称讲师及以上职称完成必修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学时，非教师系列职称中级及以上职称完成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33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学时。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B388C"/>
    <w:rsid w:val="616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2021-12-16T07:40:00Z</dcterms:created>
  <dc:creator>阿菁</dc:creator>
  <cp:lastModifiedBy>阿菁</cp:lastModifiedBy>
  <dcterms:modified xsi:type="dcterms:W3CDTF">2021-12-16T07:40:54Z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EF0132E1FDFE4A2BB2D8B1ADD3DCAC91</vt:lpwstr>
  </property>
</Properties>
</file>